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A743F" w:rsidRPr="00BA743F">
        <w:trPr>
          <w:tblCellSpacing w:w="0" w:type="dxa"/>
        </w:trPr>
        <w:tc>
          <w:tcPr>
            <w:tcW w:w="0" w:type="auto"/>
            <w:vAlign w:val="center"/>
            <w:hideMark/>
          </w:tcPr>
          <w:p w:rsidR="00BA743F" w:rsidRPr="00BA743F" w:rsidRDefault="00BA743F" w:rsidP="00BA743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b/>
                <w:bCs/>
                <w:color w:val="669999"/>
                <w:spacing w:val="24"/>
                <w:sz w:val="21"/>
                <w:szCs w:val="21"/>
                <w:lang w:eastAsia="fr-FR"/>
              </w:rPr>
            </w:pPr>
          </w:p>
        </w:tc>
      </w:tr>
      <w:tr w:rsidR="00BA743F" w:rsidRPr="00BA743F" w:rsidTr="006B29DC">
        <w:trPr>
          <w:trHeight w:val="8222"/>
          <w:tblCellSpacing w:w="0" w:type="dxa"/>
        </w:trPr>
        <w:tc>
          <w:tcPr>
            <w:tcW w:w="0" w:type="auto"/>
            <w:vAlign w:val="center"/>
            <w:hideMark/>
          </w:tcPr>
          <w:p w:rsidR="00BA743F" w:rsidRPr="00BA743F" w:rsidRDefault="00BA743F" w:rsidP="00BA743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 </w:t>
            </w:r>
          </w:p>
          <w:p w:rsidR="00BA743F" w:rsidRPr="00BA743F" w:rsidRDefault="006B29DC" w:rsidP="00BA743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Henry </w:t>
            </w:r>
            <w:r w:rsidR="00BA743F"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Quinson est né le 8 mars 1961 à Neuilly-sur-Seine. De nationalité française par sa mère et américaine par son père, il a d'abord vécu à New York, Bruxelles et Paris. </w:t>
            </w:r>
          </w:p>
          <w:p w:rsidR="00BA743F" w:rsidRPr="00BA743F" w:rsidRDefault="00BA743F" w:rsidP="00BA743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Ancien de l'école </w:t>
            </w:r>
            <w:hyperlink r:id="rId4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Saint-Jean de Passy</w:t>
              </w:r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, diplômé de </w:t>
            </w:r>
            <w:hyperlink r:id="rId5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l'Université Panthéon-Sorbonne</w:t>
              </w:r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(spécialité économie internationale) et de </w:t>
            </w:r>
            <w:hyperlink r:id="rId6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Sciences Po Paris</w:t>
              </w:r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(section politique, économique et sociale), il a été cadre à la salle des marchés de la Banque Indosuez (à l'époque, banque d'affaires de la </w:t>
            </w:r>
            <w:hyperlink r:id="rId7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Compagnie financière de Suez</w:t>
              </w:r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), y bénéficiant d'une formation spécialisée en Angleterre et à Wall Street. Il a enseigné les techniques de change en troisième cycle universitaire aux facultés d'Aix-en-Provence et de Bordeaux ainsi qu'à l'Institut d'études politiques de Paris.</w:t>
            </w:r>
          </w:p>
          <w:p w:rsidR="00BA743F" w:rsidRPr="00BA743F" w:rsidRDefault="00BA743F" w:rsidP="00BA743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En 1989, il entre au </w:t>
            </w:r>
            <w:hyperlink r:id="rId8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 xml:space="preserve">monastère de </w:t>
              </w:r>
              <w:proofErr w:type="spellStart"/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Tamié</w:t>
              </w:r>
              <w:proofErr w:type="spellEnd"/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, en Savoie, où il suit le noviciat cistercien, puis commence ses études de théologie avec la Faculté catholique de Strasbourg. En 1995, il prend, encouragé par Hervé </w:t>
            </w:r>
            <w:proofErr w:type="spellStart"/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Renaudin</w:t>
            </w:r>
            <w:proofErr w:type="spellEnd"/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, évêque de Pontoise, un appartement dans une cité HLM de </w:t>
            </w:r>
            <w:hyperlink r:id="rId9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Marseille</w:t>
              </w:r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. Un an plus tard, il fonde, avec Karim De </w:t>
            </w:r>
            <w:proofErr w:type="spellStart"/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Broucker</w:t>
            </w:r>
            <w:proofErr w:type="spellEnd"/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, la </w:t>
            </w:r>
            <w:hyperlink r:id="rId10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Fraternité Saint Paul</w:t>
              </w:r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, une communauté de prière, de travail et d'accueil.</w:t>
            </w:r>
          </w:p>
          <w:p w:rsidR="00BA743F" w:rsidRPr="00BA743F" w:rsidRDefault="00BA743F" w:rsidP="00BA743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Bilingue, professeur certifié d'anglais et de lettres-langues, Henry Quinson se signale d'abord par la traduction du livre de John </w:t>
            </w:r>
            <w:proofErr w:type="spellStart"/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>Kiser</w:t>
            </w:r>
            <w:proofErr w:type="spellEnd"/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</w:t>
            </w:r>
            <w:hyperlink r:id="rId11" w:history="1">
              <w:r w:rsidRPr="00BA743F">
                <w:rPr>
                  <w:rFonts w:ascii="Arial" w:eastAsia="Times New Roman" w:hAnsi="Arial" w:cs="Arial"/>
                  <w:b/>
                  <w:bCs/>
                  <w:i/>
                  <w:iCs/>
                  <w:color w:val="CC0000"/>
                  <w:sz w:val="17"/>
                  <w:lang w:eastAsia="fr-FR"/>
                </w:rPr>
                <w:t xml:space="preserve">Passion pour l'Algérie : les moines de </w:t>
              </w:r>
              <w:proofErr w:type="spellStart"/>
              <w:r w:rsidRPr="00BA743F">
                <w:rPr>
                  <w:rFonts w:ascii="Arial" w:eastAsia="Times New Roman" w:hAnsi="Arial" w:cs="Arial"/>
                  <w:b/>
                  <w:bCs/>
                  <w:i/>
                  <w:iCs/>
                  <w:color w:val="CC0000"/>
                  <w:sz w:val="17"/>
                  <w:lang w:eastAsia="fr-FR"/>
                </w:rPr>
                <w:t>Tibhirine</w:t>
              </w:r>
              <w:proofErr w:type="spellEnd"/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(Nouvelle Cité, mars 2006), qui obtient le </w:t>
            </w:r>
            <w:hyperlink r:id="rId12" w:history="1"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 xml:space="preserve">Prix des libraires </w:t>
              </w:r>
              <w:proofErr w:type="spellStart"/>
              <w:r w:rsidRPr="00BA743F">
                <w:rPr>
                  <w:rFonts w:ascii="Arial" w:eastAsia="Times New Roman" w:hAnsi="Arial" w:cs="Arial"/>
                  <w:b/>
                  <w:bCs/>
                  <w:color w:val="CC0000"/>
                  <w:sz w:val="17"/>
                  <w:lang w:eastAsia="fr-FR"/>
                </w:rPr>
                <w:t>Siloë</w:t>
              </w:r>
              <w:proofErr w:type="spellEnd"/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à l'automne 2006.</w:t>
            </w:r>
          </w:p>
          <w:p w:rsidR="00BA743F" w:rsidRDefault="00BA743F" w:rsidP="00BA743F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Après avoir publié </w:t>
            </w:r>
            <w:hyperlink r:id="rId13" w:history="1">
              <w:r w:rsidRPr="00BA743F">
                <w:rPr>
                  <w:rFonts w:ascii="Arial" w:eastAsia="Times New Roman" w:hAnsi="Arial" w:cs="Arial"/>
                  <w:b/>
                  <w:bCs/>
                  <w:i/>
                  <w:iCs/>
                  <w:color w:val="CC0000"/>
                  <w:sz w:val="17"/>
                  <w:lang w:eastAsia="fr-FR"/>
                </w:rPr>
                <w:t xml:space="preserve">Prier 15 jours avec Christophe </w:t>
              </w:r>
              <w:proofErr w:type="spellStart"/>
              <w:r w:rsidRPr="00BA743F">
                <w:rPr>
                  <w:rFonts w:ascii="Arial" w:eastAsia="Times New Roman" w:hAnsi="Arial" w:cs="Arial"/>
                  <w:b/>
                  <w:bCs/>
                  <w:i/>
                  <w:iCs/>
                  <w:color w:val="CC0000"/>
                  <w:sz w:val="17"/>
                  <w:lang w:eastAsia="fr-FR"/>
                </w:rPr>
                <w:t>Lebreton</w:t>
              </w:r>
              <w:proofErr w:type="spellEnd"/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(Nouvelle Cité, 2e édition, mars 2009), son récit autobiographique </w:t>
            </w:r>
            <w:hyperlink r:id="rId14" w:history="1">
              <w:r w:rsidRPr="00BA743F">
                <w:rPr>
                  <w:rFonts w:ascii="Arial" w:eastAsia="Times New Roman" w:hAnsi="Arial" w:cs="Arial"/>
                  <w:b/>
                  <w:bCs/>
                  <w:i/>
                  <w:iCs/>
                  <w:color w:val="CC0000"/>
                  <w:sz w:val="17"/>
                  <w:lang w:eastAsia="fr-FR"/>
                </w:rPr>
                <w:t>Moine des cités, De Wall Street aux Quartiers Nord de Marseille</w:t>
              </w:r>
            </w:hyperlink>
            <w:r w:rsidRPr="00BA743F"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  <w:t xml:space="preserve"> (Nouvelle Cité, 2008, 50e mille, Prix 2009 de littérature religieuse, traduit en italien par San Paolo) touche le grand public.</w:t>
            </w:r>
          </w:p>
          <w:p w:rsidR="006B29DC" w:rsidRPr="00BA743F" w:rsidRDefault="006B29DC" w:rsidP="006B29DC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fr-FR"/>
              </w:rPr>
            </w:pPr>
          </w:p>
        </w:tc>
      </w:tr>
    </w:tbl>
    <w:p w:rsidR="006B29DC" w:rsidRDefault="006B29DC" w:rsidP="006B29DC">
      <w:pPr>
        <w:jc w:val="center"/>
        <w:rPr>
          <w:rFonts w:ascii="Arial" w:hAnsi="Arial" w:cs="Arial"/>
          <w:noProof/>
          <w:color w:val="0000CC"/>
          <w:sz w:val="15"/>
          <w:szCs w:val="15"/>
          <w:lang w:eastAsia="fr-FR"/>
        </w:rPr>
      </w:pPr>
      <w:r>
        <w:rPr>
          <w:rFonts w:ascii="Arial" w:hAnsi="Arial" w:cs="Arial"/>
          <w:noProof/>
          <w:color w:val="0000CC"/>
          <w:sz w:val="15"/>
          <w:szCs w:val="15"/>
          <w:lang w:eastAsia="fr-FR"/>
        </w:rPr>
        <w:drawing>
          <wp:inline distT="0" distB="0" distL="0" distR="0">
            <wp:extent cx="981075" cy="1190625"/>
            <wp:effectExtent l="19050" t="0" r="9525" b="0"/>
            <wp:docPr id="4" name="Image 4" descr="Afficher l'image en taille réell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en taille réell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DC" w:rsidRDefault="006B29DC">
      <w:pPr>
        <w:rPr>
          <w:rFonts w:ascii="Arial" w:hAnsi="Arial" w:cs="Arial"/>
          <w:noProof/>
          <w:color w:val="0000CC"/>
          <w:sz w:val="15"/>
          <w:szCs w:val="15"/>
          <w:lang w:eastAsia="fr-FR"/>
        </w:rPr>
      </w:pPr>
    </w:p>
    <w:p w:rsidR="00A8365C" w:rsidRDefault="00A8365C"/>
    <w:p w:rsidR="006B29DC" w:rsidRDefault="006B29DC"/>
    <w:sectPr w:rsidR="006B29DC" w:rsidSect="00A8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43F"/>
    <w:rsid w:val="006B29DC"/>
    <w:rsid w:val="00A8365C"/>
    <w:rsid w:val="00BA743F"/>
    <w:rsid w:val="00E2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743F"/>
    <w:rPr>
      <w:b/>
      <w:bCs/>
      <w:strike w:val="0"/>
      <w:dstrike w:val="0"/>
      <w:color w:val="CC0000"/>
      <w:u w:val="none"/>
      <w:effect w:val="none"/>
    </w:rPr>
  </w:style>
  <w:style w:type="paragraph" w:customStyle="1" w:styleId="subheader">
    <w:name w:val="subheader"/>
    <w:basedOn w:val="Normal"/>
    <w:rsid w:val="00BA743F"/>
    <w:pPr>
      <w:spacing w:before="100" w:beforeAutospacing="1" w:after="100" w:afterAutospacing="1" w:line="300" w:lineRule="atLeast"/>
    </w:pPr>
    <w:rPr>
      <w:rFonts w:ascii="Georgia" w:eastAsia="Times New Roman" w:hAnsi="Georgia" w:cs="Times New Roman"/>
      <w:b/>
      <w:bCs/>
      <w:color w:val="669999"/>
      <w:spacing w:val="24"/>
      <w:sz w:val="21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BA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A743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aye-tamie.com/" TargetMode="External"/><Relationship Id="rId13" Type="http://schemas.openxmlformats.org/officeDocument/2006/relationships/hyperlink" Target="http://pagesperso-orange.fr/frat.st.paul/HenryQuinsonPrier15joursAvecChristopheLebreto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ez.fr/" TargetMode="External"/><Relationship Id="rId12" Type="http://schemas.openxmlformats.org/officeDocument/2006/relationships/hyperlink" Target="http://www.siloe-librairies.com/prix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sciences-po.fr/" TargetMode="External"/><Relationship Id="rId11" Type="http://schemas.openxmlformats.org/officeDocument/2006/relationships/hyperlink" Target="http://pagesperso-orange.fr/frat.st.paul/Tibhirine.htm" TargetMode="External"/><Relationship Id="rId5" Type="http://schemas.openxmlformats.org/officeDocument/2006/relationships/hyperlink" Target="http://www.univ-paris1.fr/" TargetMode="External"/><Relationship Id="rId15" Type="http://schemas.openxmlformats.org/officeDocument/2006/relationships/hyperlink" Target="http://pagesperso-orange.fr/frat.st.paul/Images/henryQuinsonPortraitRMC2008r.jpg" TargetMode="External"/><Relationship Id="rId10" Type="http://schemas.openxmlformats.org/officeDocument/2006/relationships/hyperlink" Target="http://pagesperso-orange.fr/frat.st.paul/Menu.html" TargetMode="External"/><Relationship Id="rId4" Type="http://schemas.openxmlformats.org/officeDocument/2006/relationships/hyperlink" Target="http://www.saintjeandepassy.fr/" TargetMode="External"/><Relationship Id="rId9" Type="http://schemas.openxmlformats.org/officeDocument/2006/relationships/hyperlink" Target="http://catholique-marseille.cef.fr/Fraternite-Saint-Paul" TargetMode="External"/><Relationship Id="rId14" Type="http://schemas.openxmlformats.org/officeDocument/2006/relationships/hyperlink" Target="http://pagesperso-orange.fr/frat.st.paul/HenryQuinsonBiographi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2010-02-05T06:49:00Z</dcterms:created>
  <dcterms:modified xsi:type="dcterms:W3CDTF">2010-03-08T21:28:00Z</dcterms:modified>
</cp:coreProperties>
</file>